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Systematic Review Protocol Template</w:t>
      </w:r>
    </w:p>
    <w:p>
      <w:r>
        <w:rPr>
          <w:i/>
        </w:rPr>
        <w:t xml:space="preserve">Free protocol template from EvidenceFlow (evidenceflow.in). This is a working draft covering the same planning topics as PRISMA-P - it is not a substitute for the current PRISMA-P checklist or your registry's own form (PROSPERO, OSF, or similar).</w:t>
      </w:r>
    </w:p>
    <w:p/>
    <w:p>
      <w:pPr>
        <w:pStyle w:val="Heading1"/>
      </w:pPr>
      <w:r>
        <w:t xml:space="preserve">1. Protocol checklist</w:t>
      </w:r>
    </w:p>
    <w:p>
      <w:pPr>
        <w:pStyle w:val="ListParagraph"/>
        <w:numPr>
          <w:ilvl w:val="0"/>
          <w:numId w:val="0"/>
        </w:numPr>
      </w:pPr>
      <w:r>
        <w:t xml:space="preserve">• Review question / PICO defined</w:t>
      </w:r>
    </w:p>
    <w:p>
      <w:pPr>
        <w:pStyle w:val="ListParagraph"/>
        <w:numPr>
          <w:ilvl w:val="0"/>
          <w:numId w:val="0"/>
        </w:numPr>
      </w:pPr>
      <w:r>
        <w:t xml:space="preserve">• Eligibility criteria (design, population, dates, language) specified</w:t>
      </w:r>
    </w:p>
    <w:p>
      <w:pPr>
        <w:pStyle w:val="ListParagraph"/>
        <w:numPr>
          <w:ilvl w:val="0"/>
          <w:numId w:val="0"/>
        </w:numPr>
      </w:pPr>
      <w:r>
        <w:t xml:space="preserve">• Information sources and search strategy documented</w:t>
      </w:r>
    </w:p>
    <w:p>
      <w:pPr>
        <w:pStyle w:val="ListParagraph"/>
        <w:numPr>
          <w:ilvl w:val="0"/>
          <w:numId w:val="0"/>
        </w:numPr>
      </w:pPr>
      <w:r>
        <w:t xml:space="preserve">• Screening and selection process (dual review, conflict resolution) defined</w:t>
      </w:r>
    </w:p>
    <w:p>
      <w:pPr>
        <w:pStyle w:val="ListParagraph"/>
        <w:numPr>
          <w:ilvl w:val="0"/>
          <w:numId w:val="0"/>
        </w:numPr>
      </w:pPr>
      <w:r>
        <w:t xml:space="preserve">• Data extraction plan and form agreed</w:t>
      </w:r>
    </w:p>
    <w:p>
      <w:pPr>
        <w:pStyle w:val="ListParagraph"/>
        <w:numPr>
          <w:ilvl w:val="0"/>
          <w:numId w:val="0"/>
        </w:numPr>
      </w:pPr>
      <w:r>
        <w:t xml:space="preserve">• Risk-of-bias assessment tool and process selected</w:t>
      </w:r>
    </w:p>
    <w:p>
      <w:pPr>
        <w:pStyle w:val="ListParagraph"/>
        <w:numPr>
          <w:ilvl w:val="0"/>
          <w:numId w:val="0"/>
        </w:numPr>
      </w:pPr>
      <w:r>
        <w:t xml:space="preserve">• Synthesis and analysis plan (narrative vs. meta-analysis, effect measure, heterogeneity) specified</w:t>
      </w:r>
    </w:p>
    <w:p>
      <w:pPr>
        <w:pStyle w:val="ListParagraph"/>
        <w:numPr>
          <w:ilvl w:val="0"/>
          <w:numId w:val="0"/>
        </w:numPr>
      </w:pPr>
      <w:r>
        <w:t xml:space="preserve">• Reporting and registration plan (PRISMA 2020, PROSPERO/OSF) considered</w:t>
      </w:r>
    </w:p>
    <w:p/>
    <w:p>
      <w:pPr>
        <w:pStyle w:val="Heading1"/>
      </w:pPr>
      <w:r>
        <w:t xml:space="preserve">2. Protocol fields</w:t>
      </w:r>
    </w:p>
    <w:p>
      <w:r>
        <w:rPr>
          <w:b/>
        </w:rPr>
        <w:t xml:space="preserve">Working title</w:t>
      </w:r>
    </w:p>
    <w:p>
      <w:r>
        <w:rPr>
          <w:i/>
          <w:sz w:val="20"/>
        </w:rPr>
        <w:t xml:space="preserve">Name the population, intervention, comparator, and primary outcome.</w:t>
      </w:r>
    </w:p>
    <w:p>
      <w:r>
        <w:t xml:space="preserve">[Fictional example] SGLT2 inhibitors versus placebo for heart-failure hospitalization in adults with type 2 diabetes: a systematic review and meta-analysis</w:t>
      </w:r>
    </w:p>
    <w:p/>
    <w:p>
      <w:r>
        <w:rPr>
          <w:b/>
        </w:rPr>
        <w:t xml:space="preserve">Registration</w:t>
      </w:r>
    </w:p>
    <w:p>
      <w:r>
        <w:rPr>
          <w:i/>
          <w:sz w:val="20"/>
        </w:rPr>
        <w:t xml:space="preserve">PROSPERO or OSF URL. Register before screening if you will claim prospective registration.</w:t>
      </w:r>
    </w:p>
    <w:p>
      <w:r>
        <w:t xml:space="preserve">[Fictional example] PROSPERO CRDxxxxxxxx (to be submitted before screening starts)</w:t>
      </w:r>
    </w:p>
    <w:p/>
    <w:p>
      <w:r>
        <w:rPr>
          <w:b/>
        </w:rPr>
        <w:t xml:space="preserve">Team and roles</w:t>
      </w:r>
    </w:p>
    <w:p>
      <w:r>
        <w:rPr>
          <w:i/>
          <w:sz w:val="20"/>
        </w:rPr>
        <w:t xml:space="preserve">Who screens, who extracts, who is the arbiter, who runs statistics.</w:t>
      </w:r>
    </w:p>
    <w:p>
      <w:r>
        <w:t xml:space="preserve">[Fictional example] Review lead; second reviewer; statistician; content expert</w:t>
      </w:r>
    </w:p>
    <w:p/>
    <w:p>
      <w:r>
        <w:rPr>
          <w:b/>
        </w:rPr>
        <w:t xml:space="preserve">Rationale</w:t>
      </w:r>
    </w:p>
    <w:p>
      <w:r>
        <w:rPr>
          <w:i/>
          <w:sz w:val="20"/>
        </w:rPr>
        <w:t xml:space="preserve">Why this review now, and what previous reviews left unanswered.</w:t>
      </w:r>
    </w:p>
    <w:p>
      <w:r>
        <w:t xml:space="preserve">[Fictional example] SGLT2 inhibitors reduce hospitalization in some trials, but estimates differ by heart-failure phenotype and follow-up. A structured synthesis is needed before guideline update.</w:t>
      </w:r>
    </w:p>
    <w:p/>
    <w:p>
      <w:r>
        <w:rPr>
          <w:b/>
        </w:rPr>
        <w:t xml:space="preserve">Population (P)</w:t>
      </w:r>
    </w:p>
    <w:p>
      <w:r>
        <w:t xml:space="preserve">[Fictional example] Adults (18+) with type 2 diabetes, with or without established heart failure</w:t>
      </w:r>
    </w:p>
    <w:p/>
    <w:p>
      <w:r>
        <w:rPr>
          <w:b/>
        </w:rPr>
        <w:t xml:space="preserve">Intervention / exposure (I)</w:t>
      </w:r>
    </w:p>
    <w:p>
      <w:r>
        <w:t xml:space="preserve">[Fictional example] Any SGLT2 inhibitor at licensed dose, any duration of 12+ weeks</w:t>
      </w:r>
    </w:p>
    <w:p/>
    <w:p>
      <w:r>
        <w:rPr>
          <w:b/>
        </w:rPr>
        <w:t xml:space="preserve">Comparator (C)</w:t>
      </w:r>
    </w:p>
    <w:p>
      <w:r>
        <w:t xml:space="preserve">[Fictional example] Placebo or usual care without an SGLT2 inhibitor</w:t>
      </w:r>
    </w:p>
    <w:p/>
    <w:p>
      <w:r>
        <w:rPr>
          <w:b/>
        </w:rPr>
        <w:t xml:space="preserve">Outcomes (O)</w:t>
      </w:r>
    </w:p>
    <w:p>
      <w:r>
        <w:rPr>
          <w:i/>
          <w:sz w:val="20"/>
        </w:rPr>
        <w:t xml:space="preserve">List primary vs secondary, timing, and measurement.</w:t>
      </w:r>
    </w:p>
    <w:p>
      <w:r>
        <w:t xml:space="preserve">[Fictional example] Primary: hospitalization for heart failure. Secondary: cardiovascular death, all-cause death, HbA1c, serious adverse events</w:t>
      </w:r>
    </w:p>
    <w:p/>
    <w:p>
      <w:r>
        <w:rPr>
          <w:b/>
        </w:rPr>
        <w:t xml:space="preserve">Eligibility criteria</w:t>
      </w:r>
    </w:p>
    <w:p>
      <w:r>
        <w:rPr>
          <w:i/>
          <w:sz w:val="20"/>
        </w:rPr>
        <w:t xml:space="preserve">Study designs, settings, language, date limits, and hard excludes.</w:t>
      </w:r>
    </w:p>
    <w:p>
      <w:r>
        <w:t xml:space="preserve">[Fictional example] Include randomized controlled trials. Exclude quasi-experimental designs, animal studies, and trials with under 12 weeks of follow-up. No language limit.</w:t>
      </w:r>
    </w:p>
    <w:p/>
    <w:p>
      <w:r>
        <w:rPr>
          <w:b/>
        </w:rPr>
        <w:t xml:space="preserve">Information sources</w:t>
      </w:r>
    </w:p>
    <w:p>
      <w:r>
        <w:rPr>
          <w:i/>
          <w:sz w:val="20"/>
        </w:rPr>
        <w:t xml:space="preserve">Databases, trial registers, grey literature, citation chasing.</w:t>
      </w:r>
    </w:p>
    <w:p>
      <w:r>
        <w:t xml:space="preserve">[Fictional example] MEDLINE, Embase, CENTRAL, ClinicalTrials.gov, WHO ICTRP, from inception to search date</w:t>
      </w:r>
    </w:p>
    <w:p/>
    <w:p>
      <w:r>
        <w:rPr>
          <w:b/>
        </w:rPr>
        <w:t xml:space="preserve">Search strategy</w:t>
      </w:r>
    </w:p>
    <w:p>
      <w:r>
        <w:rPr>
          <w:i/>
          <w:sz w:val="20"/>
        </w:rPr>
        <w:t xml:space="preserve">Who writes it, whether it is peer-reviewed, how updates are handled.</w:t>
      </w:r>
    </w:p>
    <w:p>
      <w:r>
        <w:t xml:space="preserve">[Fictional example] Combine exploded MeSH/Emtree terms for SGLT2 inhibitors with a validated RCT filter. Peer-review the strategy (PRESS). Save the exact search strings and dates.</w:t>
      </w:r>
    </w:p>
    <w:p/>
    <w:p>
      <w:r>
        <w:rPr>
          <w:b/>
        </w:rPr>
        <w:t xml:space="preserve">Study selection</w:t>
      </w:r>
    </w:p>
    <w:p>
      <w:r>
        <w:rPr>
          <w:i/>
          <w:sz w:val="20"/>
        </w:rPr>
        <w:t xml:space="preserve">Dual review, software, and conflict process.</w:t>
      </w:r>
    </w:p>
    <w:p>
      <w:r>
        <w:t xml:space="preserve">[Fictional example] Two reviewers screen titles/abstracts, then full texts, independently. Conflicts resolved by a third reviewer. PRISMA counts recorded at each stage.</w:t>
      </w:r>
    </w:p>
    <w:p/>
    <w:p>
      <w:r>
        <w:rPr>
          <w:b/>
        </w:rPr>
        <w:t xml:space="preserve">Data extraction</w:t>
      </w:r>
    </w:p>
    <w:p>
      <w:r>
        <w:rPr>
          <w:i/>
          <w:sz w:val="20"/>
        </w:rPr>
        <w:t xml:space="preserve">Form, piloting, and how discrepancies are recorded.</w:t>
      </w:r>
    </w:p>
    <w:p>
      <w:r>
        <w:t xml:space="preserve">[Fictional example] Dual extraction of design, sample size, PICO, 2x2 or mean/SD data, and effect estimates into a locked form, piloted on five studies before full extraction.</w:t>
      </w:r>
    </w:p>
    <w:p/>
    <w:p>
      <w:r>
        <w:rPr>
          <w:b/>
        </w:rPr>
        <w:t xml:space="preserve">Risk of bias</w:t>
      </w:r>
    </w:p>
    <w:p>
      <w:r>
        <w:rPr>
          <w:i/>
          <w:sz w:val="20"/>
        </w:rPr>
        <w:t xml:space="preserve">Tool (RoB 2, ROBINS-I, QUADAS-2) and how judgements feed synthesis.</w:t>
      </w:r>
    </w:p>
    <w:p>
      <w:r>
        <w:t xml:space="preserve">[Fictional example] RoB 2 for randomized trials, domain-level judgements reported rather than a single numeric score.</w:t>
      </w:r>
    </w:p>
    <w:p/>
    <w:p>
      <w:r>
        <w:rPr>
          <w:b/>
        </w:rPr>
        <w:t xml:space="preserve">Synthesis plan</w:t>
      </w:r>
    </w:p>
    <w:p>
      <w:r>
        <w:rPr>
          <w:i/>
          <w:sz w:val="20"/>
        </w:rPr>
        <w:t xml:space="preserve">Meta-analysis vs narrative, effect measure, heterogeneity, subgroups.</w:t>
      </w:r>
    </w:p>
    <w:p>
      <w:r>
        <w:t xml:space="preserve">[Fictional example] Random-effects meta-analysis (DerSimonian-Laird) of risk ratio for binary outcomes; mean difference or standardized mean difference for continuous outcomes. Heterogeneity assessed via I-squared and tau-squared. Sensitivity analyses: fixed-effect model and leave-one-out.</w:t>
      </w:r>
    </w:p>
    <w:p/>
    <w:p>
      <w:pPr>
        <w:pStyle w:val="Heading1"/>
      </w:pPr>
      <w:r>
        <w:t xml:space="preserve">3. Notes on the fictional example above</w:t>
      </w:r>
    </w:p>
    <w:p>
      <w:r>
        <w:t xml:space="preserve">The italicized example text throughout this template is a fictional teaching example only. The study, values, institutions, and any registry-style identifiers shown are illustrative and must not be cited as real research. Replace every bracketed field with your own review's real content before use.</w:t>
      </w:r>
    </w:p>
    <w:p/>
    <w:p>
      <w:pPr>
        <w:pStyle w:val="Heading1"/>
      </w:pPr>
      <w:r>
        <w:t xml:space="preserve">4. References</w:t>
      </w:r>
    </w:p>
    <w:p>
      <w:r>
        <w:t xml:space="preserve">PRISMA-P 2015 statement: Moher D, Shamseer L, Clarke M, et al. Preferred reporting items for systematic review and meta-analysis protocols (PRISMA-P) 2015 statement. Systematic Reviews. 2015;4:1.</w:t>
      </w:r>
    </w:p>
    <w:p>
      <w:r>
        <w:t xml:space="preserve">Cochrane Handbook for Systematic Reviews of Interventions (current version), training.cochrane.org/handbook.</w:t>
      </w:r>
    </w:p>
    <w:p/>
    <w:p>
      <w:r>
        <w:rPr>
          <w:i/>
          <w:sz w:val="18"/>
        </w:rPr>
        <w:t xml:space="preserve">Downloaded from evidenceflow.in/tools/systematic-review-protocol-template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240"/>
    </w:pPr>
    <w:rPr>
      <w:b/>
      <w:sz w:val="40"/>
      <w:color w:val="1F2A44"/>
    </w:rPr>
  </w:style>
  <w:style w:type="paragraph" w:styleId="Heading1">
    <w:name w:val="heading 1"/>
    <w:basedOn w:val="Normal"/>
    <w:qFormat/>
    <w:pPr>
      <w:spacing w:before="320" w:after="120"/>
      <w:outlineLvl w:val="0"/>
    </w:pPr>
    <w:rPr>
      <w:b/>
      <w:sz w:val="28"/>
      <w:color w:val="1F2A44"/>
    </w:rPr>
  </w:style>
  <w:style w:type="paragraph" w:styleId="Heading2">
    <w:name w:val="heading 2"/>
    <w:basedOn w:val="Normal"/>
    <w:qFormat/>
    <w:pPr>
      <w:spacing w:before="240" w:after="100"/>
      <w:outlineLvl w:val="1"/>
    </w:pPr>
    <w:rPr>
      <w:b/>
      <w:sz w:val="24"/>
      <w:color w:val="1F2A44"/>
    </w:rPr>
  </w:style>
  <w:style w:type="paragraph" w:styleId="ListParagraph">
    <w:name w:val="List Paragraph"/>
    <w:basedOn w:val="Normal"/>
    <w:qFormat/>
    <w:pPr>
      <w:spacing w:after="80"/>
      <w:ind w:left="360"/>
    </w:pPr>
  </w:style>
  <w:style w:type="character" w:styleId="Hint">
    <w:name w:val="Hint"/>
    <w:rPr>
      <w:i/>
      <w:color w:val="595959"/>
      <w:sz w:val="20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EvidenceFlow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Systematic Review Protocol Template</dc:title>
  <dc:creator>EvidenceFlow</dc:creator>
  <cp:lastModifiedBy>EvidenceFlow</cp:lastModifiedBy>
  <dcterms:created xsi:type="dcterms:W3CDTF">2026-09-22T00:00:00Z</dcterms:created>
  <dcterms:modified xsi:type="dcterms:W3CDTF">2026-09-22T00:00:00Z</dcterms:modified>
</cp:coreProperties>
</file>